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48B7" w14:textId="302C5E02" w:rsidR="001C4A18" w:rsidRPr="0060742F" w:rsidRDefault="001B4A52" w:rsidP="00370801">
      <w:pPr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60742F">
        <w:rPr>
          <w:rFonts w:ascii="Times New Roman" w:hAnsi="Times New Roman" w:cs="Times New Roman"/>
          <w:b/>
          <w:sz w:val="28"/>
          <w:szCs w:val="24"/>
        </w:rPr>
        <w:t>SIGNIFICATIONS</w:t>
      </w:r>
      <w:r w:rsidR="00E458CF" w:rsidRPr="0060742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0742F">
        <w:rPr>
          <w:rFonts w:ascii="Times New Roman" w:hAnsi="Times New Roman" w:cs="Times New Roman"/>
          <w:b/>
          <w:sz w:val="28"/>
          <w:szCs w:val="24"/>
        </w:rPr>
        <w:t>/</w:t>
      </w:r>
      <w:r w:rsidR="00E458CF" w:rsidRPr="0060742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0742F">
        <w:rPr>
          <w:rFonts w:ascii="Times New Roman" w:hAnsi="Times New Roman" w:cs="Times New Roman"/>
          <w:b/>
          <w:sz w:val="28"/>
          <w:szCs w:val="24"/>
        </w:rPr>
        <w:t>JUSTIFICATIONS DES DENOMINATIONS DES REGIONS</w:t>
      </w:r>
    </w:p>
    <w:tbl>
      <w:tblPr>
        <w:tblStyle w:val="Grilledutableau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1863"/>
        <w:gridCol w:w="12763"/>
      </w:tblGrid>
      <w:tr w:rsidR="001B4A52" w:rsidRPr="0060742F" w14:paraId="6C0A2FC8" w14:textId="77777777" w:rsidTr="00FF7948">
        <w:trPr>
          <w:trHeight w:val="18"/>
          <w:jc w:val="center"/>
        </w:trPr>
        <w:tc>
          <w:tcPr>
            <w:tcW w:w="678" w:type="dxa"/>
            <w:shd w:val="clear" w:color="auto" w:fill="DEEAF6" w:themeFill="accent1" w:themeFillTint="33"/>
          </w:tcPr>
          <w:p w14:paraId="50A8810D" w14:textId="77777777" w:rsidR="001B4A52" w:rsidRPr="0060742F" w:rsidRDefault="001B4A52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02240322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N°</w:t>
            </w:r>
          </w:p>
        </w:tc>
        <w:tc>
          <w:tcPr>
            <w:tcW w:w="1863" w:type="dxa"/>
            <w:shd w:val="clear" w:color="auto" w:fill="DEEAF6" w:themeFill="accent1" w:themeFillTint="33"/>
          </w:tcPr>
          <w:p w14:paraId="6B6BB134" w14:textId="0787D4EB" w:rsidR="001B4A52" w:rsidRPr="0060742F" w:rsidRDefault="00866A2B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REGIONS</w:t>
            </w:r>
          </w:p>
        </w:tc>
        <w:tc>
          <w:tcPr>
            <w:tcW w:w="12763" w:type="dxa"/>
            <w:shd w:val="clear" w:color="auto" w:fill="DEEAF6" w:themeFill="accent1" w:themeFillTint="33"/>
          </w:tcPr>
          <w:p w14:paraId="1D79FDCC" w14:textId="47A405AC" w:rsidR="001B4A52" w:rsidRPr="0060742F" w:rsidRDefault="00866A2B" w:rsidP="009C359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SIGNIFICATIONS </w:t>
            </w:r>
            <w:r w:rsidR="001B4A5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65567F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JUSTIFICATIONS </w:t>
            </w:r>
          </w:p>
        </w:tc>
      </w:tr>
      <w:tr w:rsidR="00370801" w:rsidRPr="0060742F" w14:paraId="05302711" w14:textId="77777777" w:rsidTr="00FF7948">
        <w:trPr>
          <w:trHeight w:val="278"/>
          <w:jc w:val="center"/>
        </w:trPr>
        <w:tc>
          <w:tcPr>
            <w:tcW w:w="678" w:type="dxa"/>
          </w:tcPr>
          <w:p w14:paraId="5DD80018" w14:textId="62B14437" w:rsidR="00370801" w:rsidRPr="0060742F" w:rsidRDefault="00380FE8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70801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14:paraId="42887CE6" w14:textId="77777777" w:rsidR="00370801" w:rsidRPr="0060742F" w:rsidRDefault="00370801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Bankui</w:t>
            </w:r>
            <w:proofErr w:type="spellEnd"/>
          </w:p>
        </w:tc>
        <w:tc>
          <w:tcPr>
            <w:tcW w:w="12763" w:type="dxa"/>
          </w:tcPr>
          <w:p w14:paraId="092C57C7" w14:textId="77777777" w:rsidR="00370801" w:rsidRPr="0060742F" w:rsidRDefault="00370801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Bankui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est un nom composé de « Ban » qui signifie forêts et « </w:t>
            </w: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ku</w:t>
            </w:r>
            <w:r w:rsidR="007D447A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 » qui signifie village ou localité.</w:t>
            </w:r>
          </w:p>
        </w:tc>
      </w:tr>
      <w:tr w:rsidR="00370801" w:rsidRPr="0060742F" w14:paraId="0F6EEB87" w14:textId="77777777" w:rsidTr="00FF7948">
        <w:trPr>
          <w:trHeight w:val="278"/>
          <w:jc w:val="center"/>
        </w:trPr>
        <w:tc>
          <w:tcPr>
            <w:tcW w:w="678" w:type="dxa"/>
          </w:tcPr>
          <w:p w14:paraId="23576C60" w14:textId="4592EF43" w:rsidR="00370801" w:rsidRPr="0060742F" w:rsidRDefault="00380FE8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70801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6BE5775D" w14:textId="77777777" w:rsidR="00370801" w:rsidRPr="0060742F" w:rsidRDefault="00370801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3" w:type="dxa"/>
          </w:tcPr>
          <w:p w14:paraId="5D21187B" w14:textId="77777777" w:rsidR="00370801" w:rsidRPr="0060742F" w:rsidRDefault="00370801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Djôrô</w:t>
            </w:r>
            <w:proofErr w:type="spellEnd"/>
          </w:p>
        </w:tc>
        <w:tc>
          <w:tcPr>
            <w:tcW w:w="12763" w:type="dxa"/>
          </w:tcPr>
          <w:p w14:paraId="59B4FD86" w14:textId="77777777" w:rsidR="00370801" w:rsidRPr="0060742F" w:rsidRDefault="00AA4FB0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370801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énomination fai</w:t>
            </w: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san</w:t>
            </w:r>
            <w:r w:rsidR="00370801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 référence à la pratique très répandue de la culture de l’initiation dite « le </w:t>
            </w:r>
            <w:proofErr w:type="spellStart"/>
            <w:r w:rsidR="00370801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djôrô</w:t>
            </w:r>
            <w:proofErr w:type="spellEnd"/>
            <w:r w:rsidR="00370801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 » dans la région.</w:t>
            </w:r>
          </w:p>
        </w:tc>
      </w:tr>
      <w:tr w:rsidR="00370801" w:rsidRPr="0060742F" w14:paraId="676964CD" w14:textId="77777777" w:rsidTr="00FF7948">
        <w:trPr>
          <w:trHeight w:val="278"/>
          <w:jc w:val="center"/>
        </w:trPr>
        <w:tc>
          <w:tcPr>
            <w:tcW w:w="678" w:type="dxa"/>
          </w:tcPr>
          <w:p w14:paraId="2D4E5876" w14:textId="30F1ABCA" w:rsidR="00370801" w:rsidRPr="0060742F" w:rsidRDefault="00380FE8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70801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3" w:type="dxa"/>
          </w:tcPr>
          <w:p w14:paraId="31A4661C" w14:textId="77777777" w:rsidR="00370801" w:rsidRPr="0060742F" w:rsidRDefault="00370801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G</w:t>
            </w:r>
            <w:r w:rsidR="00E1002F"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</w:t>
            </w:r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ulm</w:t>
            </w:r>
            <w:r w:rsidR="00E1002F"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</w:t>
            </w:r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u</w:t>
            </w:r>
            <w:proofErr w:type="spellEnd"/>
          </w:p>
        </w:tc>
        <w:tc>
          <w:tcPr>
            <w:tcW w:w="12763" w:type="dxa"/>
          </w:tcPr>
          <w:p w14:paraId="0AEDFF57" w14:textId="5FEE44BD" w:rsidR="00370801" w:rsidRPr="0060742F" w:rsidRDefault="00A866D5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Appellation historique qui renvoie à un ensemble ethnolinguistique et culturel dont la fidélité est au roi de Fada N’</w:t>
            </w:r>
            <w:r w:rsidR="002D46A5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ourma</w:t>
            </w:r>
          </w:p>
        </w:tc>
      </w:tr>
      <w:tr w:rsidR="009313AC" w:rsidRPr="0060742F" w14:paraId="19B93317" w14:textId="77777777" w:rsidTr="00FF7948">
        <w:trPr>
          <w:trHeight w:val="278"/>
          <w:jc w:val="center"/>
        </w:trPr>
        <w:tc>
          <w:tcPr>
            <w:tcW w:w="678" w:type="dxa"/>
          </w:tcPr>
          <w:p w14:paraId="514CEF27" w14:textId="4258450A" w:rsidR="009313AC" w:rsidRPr="0060742F" w:rsidRDefault="00380FE8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313AC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14:paraId="0F7F8D7A" w14:textId="77777777" w:rsidR="009313AC" w:rsidRPr="0060742F" w:rsidRDefault="009313AC" w:rsidP="000D551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proofErr w:type="spellStart"/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G</w:t>
            </w:r>
            <w:r w:rsidR="004E599E"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u</w:t>
            </w:r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iriko</w:t>
            </w:r>
            <w:proofErr w:type="spellEnd"/>
          </w:p>
        </w:tc>
        <w:tc>
          <w:tcPr>
            <w:tcW w:w="12763" w:type="dxa"/>
          </w:tcPr>
          <w:p w14:paraId="2B6340C9" w14:textId="6AE2D329" w:rsidR="009313AC" w:rsidRPr="0060742F" w:rsidRDefault="00AA4FB0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9313AC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énomination fai</w:t>
            </w: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san</w:t>
            </w:r>
            <w:r w:rsidR="009313AC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 référence à l’ancien royaume fondé au XVIIIe siècle et dont </w:t>
            </w:r>
            <w:proofErr w:type="spellStart"/>
            <w:r w:rsidR="009313AC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Sya</w:t>
            </w:r>
            <w:proofErr w:type="spellEnd"/>
            <w:r w:rsidR="009313AC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, actuelle Bobo-Dioulasso, était la capitale. Historiquement, c’était un espace commercial et politique du royaume.</w:t>
            </w:r>
          </w:p>
        </w:tc>
      </w:tr>
      <w:tr w:rsidR="005659AD" w:rsidRPr="0060742F" w14:paraId="518B76E5" w14:textId="77777777" w:rsidTr="00FF7948">
        <w:trPr>
          <w:trHeight w:val="278"/>
          <w:jc w:val="center"/>
        </w:trPr>
        <w:tc>
          <w:tcPr>
            <w:tcW w:w="678" w:type="dxa"/>
          </w:tcPr>
          <w:p w14:paraId="70E9CB8D" w14:textId="4F5D769C" w:rsidR="005659AD" w:rsidRPr="0060742F" w:rsidRDefault="00380FE8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659AD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3" w:type="dxa"/>
          </w:tcPr>
          <w:p w14:paraId="5432C407" w14:textId="77777777" w:rsidR="005659AD" w:rsidRPr="0060742F" w:rsidRDefault="005659AD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Kadiogo</w:t>
            </w:r>
          </w:p>
        </w:tc>
        <w:tc>
          <w:tcPr>
            <w:tcW w:w="12763" w:type="dxa"/>
          </w:tcPr>
          <w:p w14:paraId="3A971849" w14:textId="77777777" w:rsidR="005659AD" w:rsidRPr="0060742F" w:rsidRDefault="005659AD" w:rsidP="005659A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Kadiogo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ou </w:t>
            </w: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kaadyoogo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originellement désignait une rivière qui coulait non loin du palais du Moog-Naaba. Sur ce cours, était prélevée l’eau destinée à l’usage personnel du Moog-Naaba. </w:t>
            </w:r>
          </w:p>
        </w:tc>
      </w:tr>
      <w:tr w:rsidR="009313AC" w:rsidRPr="0060742F" w14:paraId="780C085A" w14:textId="77777777" w:rsidTr="00FF7948">
        <w:trPr>
          <w:trHeight w:val="490"/>
          <w:jc w:val="center"/>
        </w:trPr>
        <w:tc>
          <w:tcPr>
            <w:tcW w:w="678" w:type="dxa"/>
            <w:vMerge w:val="restart"/>
          </w:tcPr>
          <w:p w14:paraId="6E5D08E1" w14:textId="23AD3AAC" w:rsidR="009313AC" w:rsidRPr="0060742F" w:rsidRDefault="00F5556E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659AD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3" w:type="dxa"/>
            <w:vMerge w:val="restart"/>
          </w:tcPr>
          <w:p w14:paraId="022A89D7" w14:textId="77777777" w:rsidR="009313AC" w:rsidRPr="0060742F" w:rsidRDefault="009313AC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K</w:t>
            </w:r>
            <w:r w:rsidR="004E599E"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ui</w:t>
            </w:r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lsé</w:t>
            </w:r>
            <w:proofErr w:type="spellEnd"/>
          </w:p>
        </w:tc>
        <w:tc>
          <w:tcPr>
            <w:tcW w:w="12763" w:type="dxa"/>
            <w:vMerge w:val="restart"/>
          </w:tcPr>
          <w:p w14:paraId="34F6B860" w14:textId="5AE4D40D" w:rsidR="009313AC" w:rsidRPr="0060742F" w:rsidRDefault="009313AC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E1002F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ui</w:t>
            </w: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lsé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en langue </w:t>
            </w:r>
            <w:proofErr w:type="spellStart"/>
            <w:r w:rsidR="00817515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moore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signifie cours d’eau. Cette dénomination fait référence aux cours d’eau qui sont dans la région (le fleuve </w:t>
            </w: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Nakanbé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, les lacs Bam, Dem et Sian)</w:t>
            </w:r>
            <w:r w:rsidR="00817515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313AC" w:rsidRPr="0060742F" w14:paraId="47C04301" w14:textId="77777777" w:rsidTr="00FF7948">
        <w:trPr>
          <w:trHeight w:val="610"/>
          <w:jc w:val="center"/>
        </w:trPr>
        <w:tc>
          <w:tcPr>
            <w:tcW w:w="678" w:type="dxa"/>
            <w:vMerge/>
          </w:tcPr>
          <w:p w14:paraId="00A94E80" w14:textId="77777777" w:rsidR="009313AC" w:rsidRPr="0060742F" w:rsidRDefault="009313AC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3" w:type="dxa"/>
            <w:vMerge/>
          </w:tcPr>
          <w:p w14:paraId="7A3523E4" w14:textId="77777777" w:rsidR="009313AC" w:rsidRPr="0060742F" w:rsidRDefault="009313AC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3" w:type="dxa"/>
            <w:vMerge/>
          </w:tcPr>
          <w:p w14:paraId="63AEE627" w14:textId="77777777" w:rsidR="009313AC" w:rsidRPr="0060742F" w:rsidRDefault="009313AC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13AC" w:rsidRPr="0060742F" w14:paraId="486B0517" w14:textId="77777777" w:rsidTr="00FF7948">
        <w:trPr>
          <w:trHeight w:val="278"/>
          <w:jc w:val="center"/>
        </w:trPr>
        <w:tc>
          <w:tcPr>
            <w:tcW w:w="678" w:type="dxa"/>
          </w:tcPr>
          <w:p w14:paraId="35D7593A" w14:textId="47B0AAAE" w:rsidR="009313AC" w:rsidRPr="0060742F" w:rsidRDefault="00F5556E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659AD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3" w:type="dxa"/>
          </w:tcPr>
          <w:p w14:paraId="2186D413" w14:textId="77777777" w:rsidR="009313AC" w:rsidRPr="0060742F" w:rsidRDefault="009313AC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Liptako</w:t>
            </w:r>
            <w:proofErr w:type="spellEnd"/>
          </w:p>
        </w:tc>
        <w:tc>
          <w:tcPr>
            <w:tcW w:w="12763" w:type="dxa"/>
          </w:tcPr>
          <w:p w14:paraId="4C8293C0" w14:textId="6409C7C8" w:rsidR="009313AC" w:rsidRPr="0060742F" w:rsidRDefault="009313AC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Liptako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est composé de « </w:t>
            </w: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Liba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» qui signifie « terrasser » et de « ta-a-ko » qui signifie « on ne peut pas », en langue </w:t>
            </w:r>
            <w:r w:rsidR="00780EEF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fulfulde</w:t>
            </w: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659AD" w:rsidRPr="0060742F" w14:paraId="112A9D99" w14:textId="77777777" w:rsidTr="00FF7948">
        <w:trPr>
          <w:trHeight w:val="278"/>
          <w:jc w:val="center"/>
        </w:trPr>
        <w:tc>
          <w:tcPr>
            <w:tcW w:w="678" w:type="dxa"/>
          </w:tcPr>
          <w:p w14:paraId="4CAF231D" w14:textId="5F90B904" w:rsidR="005659AD" w:rsidRPr="0060742F" w:rsidRDefault="00F5556E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659AD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63" w:type="dxa"/>
          </w:tcPr>
          <w:p w14:paraId="75E2EE9E" w14:textId="77777777" w:rsidR="005659AD" w:rsidRPr="0060742F" w:rsidRDefault="005659AD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Nakambé</w:t>
            </w:r>
          </w:p>
        </w:tc>
        <w:tc>
          <w:tcPr>
            <w:tcW w:w="12763" w:type="dxa"/>
          </w:tcPr>
          <w:p w14:paraId="1DE9107F" w14:textId="77777777" w:rsidR="005659AD" w:rsidRPr="0060742F" w:rsidRDefault="005659AD" w:rsidP="005659A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Hydronyme tiré d’un des principaux cours d’eau du pays qui arrose la région. La dénomination Nakambé du fleuve ex-Volta blanche est intervenue sous la Révolution démocratique et populaire.</w:t>
            </w:r>
          </w:p>
        </w:tc>
      </w:tr>
      <w:tr w:rsidR="009313AC" w:rsidRPr="0060742F" w14:paraId="73265D6E" w14:textId="77777777" w:rsidTr="00FF7948">
        <w:trPr>
          <w:trHeight w:val="278"/>
          <w:jc w:val="center"/>
        </w:trPr>
        <w:tc>
          <w:tcPr>
            <w:tcW w:w="678" w:type="dxa"/>
          </w:tcPr>
          <w:p w14:paraId="2AECB8AC" w14:textId="4E16A632" w:rsidR="009313AC" w:rsidRPr="0060742F" w:rsidRDefault="00F5556E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659AD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63" w:type="dxa"/>
          </w:tcPr>
          <w:p w14:paraId="567559E7" w14:textId="77777777" w:rsidR="009313AC" w:rsidRPr="0060742F" w:rsidRDefault="009313AC" w:rsidP="000D551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Nando</w:t>
            </w:r>
          </w:p>
        </w:tc>
        <w:tc>
          <w:tcPr>
            <w:tcW w:w="12763" w:type="dxa"/>
          </w:tcPr>
          <w:p w14:paraId="6F06CE54" w14:textId="77777777" w:rsidR="009313AC" w:rsidRPr="0060742F" w:rsidRDefault="009313AC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Nando est l'ancienne appellation en langue </w:t>
            </w: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Gourounssi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la ville de Koudougou.</w:t>
            </w:r>
          </w:p>
        </w:tc>
      </w:tr>
      <w:tr w:rsidR="009C3592" w:rsidRPr="0060742F" w14:paraId="74D833BB" w14:textId="77777777" w:rsidTr="00FF7948">
        <w:trPr>
          <w:trHeight w:val="18"/>
          <w:jc w:val="center"/>
        </w:trPr>
        <w:tc>
          <w:tcPr>
            <w:tcW w:w="678" w:type="dxa"/>
            <w:tcBorders>
              <w:top w:val="single" w:sz="4" w:space="0" w:color="auto"/>
            </w:tcBorders>
          </w:tcPr>
          <w:p w14:paraId="21DB3AFA" w14:textId="77777777" w:rsidR="009C3592" w:rsidRPr="0060742F" w:rsidRDefault="005659AD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72723F97" w14:textId="77777777" w:rsidR="009C3592" w:rsidRPr="0060742F" w:rsidRDefault="009C3592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Nazinon</w:t>
            </w:r>
          </w:p>
        </w:tc>
        <w:tc>
          <w:tcPr>
            <w:tcW w:w="12763" w:type="dxa"/>
            <w:tcBorders>
              <w:top w:val="single" w:sz="4" w:space="0" w:color="auto"/>
            </w:tcBorders>
          </w:tcPr>
          <w:p w14:paraId="23FE7B98" w14:textId="77777777" w:rsidR="009C3592" w:rsidRPr="0060742F" w:rsidRDefault="00AA4FB0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9C359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ydronyme tiré d’un des principaux cours d’eau du pays qui arrose la région. La dénomination Nazinon du fleuve ex-Volta rouge est intervenue sous la Révolution démocratique et populaire. </w:t>
            </w:r>
          </w:p>
        </w:tc>
      </w:tr>
      <w:tr w:rsidR="009C3592" w:rsidRPr="0060742F" w14:paraId="3505B277" w14:textId="77777777" w:rsidTr="00FF7948">
        <w:trPr>
          <w:trHeight w:val="18"/>
          <w:jc w:val="center"/>
        </w:trPr>
        <w:tc>
          <w:tcPr>
            <w:tcW w:w="678" w:type="dxa"/>
            <w:tcBorders>
              <w:top w:val="single" w:sz="4" w:space="0" w:color="auto"/>
            </w:tcBorders>
          </w:tcPr>
          <w:p w14:paraId="25459202" w14:textId="77777777" w:rsidR="009C3592" w:rsidRPr="0060742F" w:rsidRDefault="009C3592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659AD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78FF20FA" w14:textId="77777777" w:rsidR="009C3592" w:rsidRPr="0060742F" w:rsidRDefault="009C3592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Oubri</w:t>
            </w:r>
          </w:p>
        </w:tc>
        <w:tc>
          <w:tcPr>
            <w:tcW w:w="12763" w:type="dxa"/>
            <w:tcBorders>
              <w:top w:val="single" w:sz="4" w:space="0" w:color="auto"/>
            </w:tcBorders>
          </w:tcPr>
          <w:p w14:paraId="6EA1173F" w14:textId="166154C3" w:rsidR="009C3592" w:rsidRPr="0060742F" w:rsidRDefault="00AA4FB0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9C359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énomination fai</w:t>
            </w: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san</w:t>
            </w:r>
            <w:r w:rsidR="009C359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t référence au troisième petit</w:t>
            </w:r>
            <w:r w:rsidR="003E6E41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C359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fils de Ouédraogo qui a fondé le royaume de </w:t>
            </w:r>
            <w:proofErr w:type="spellStart"/>
            <w:r w:rsidR="009C359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Wogdgo</w:t>
            </w:r>
            <w:proofErr w:type="spellEnd"/>
            <w:r w:rsidR="009C359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. Il s’agit d’un des royaumes moss</w:t>
            </w:r>
            <w:r w:rsidR="007231AC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9C359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C3592" w:rsidRPr="0060742F" w14:paraId="1DF9C67C" w14:textId="77777777" w:rsidTr="00FF7948">
        <w:trPr>
          <w:trHeight w:val="442"/>
          <w:jc w:val="center"/>
        </w:trPr>
        <w:tc>
          <w:tcPr>
            <w:tcW w:w="678" w:type="dxa"/>
          </w:tcPr>
          <w:p w14:paraId="369C4C55" w14:textId="77777777" w:rsidR="009C3592" w:rsidRPr="0060742F" w:rsidRDefault="009C3592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659AD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14:paraId="25292F33" w14:textId="77777777" w:rsidR="009C3592" w:rsidRPr="0060742F" w:rsidRDefault="009C3592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Sirba</w:t>
            </w:r>
          </w:p>
        </w:tc>
        <w:tc>
          <w:tcPr>
            <w:tcW w:w="12763" w:type="dxa"/>
          </w:tcPr>
          <w:p w14:paraId="38047498" w14:textId="77777777" w:rsidR="009C3592" w:rsidRPr="0060742F" w:rsidRDefault="009C3592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Hydronyme tiré d’un cours d’eau prenant sa source dans le Ganzourgou et qui traverse les deux provinces</w:t>
            </w:r>
            <w:r w:rsidR="00AA4FB0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la région</w:t>
            </w:r>
            <w:r w:rsidR="006C0AE0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C3592" w:rsidRPr="0060742F" w14:paraId="26D734F5" w14:textId="77777777" w:rsidTr="00FF7948">
        <w:trPr>
          <w:trHeight w:val="442"/>
          <w:jc w:val="center"/>
        </w:trPr>
        <w:tc>
          <w:tcPr>
            <w:tcW w:w="678" w:type="dxa"/>
          </w:tcPr>
          <w:p w14:paraId="12403FAB" w14:textId="77777777" w:rsidR="009C3592" w:rsidRPr="0060742F" w:rsidRDefault="005659AD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63" w:type="dxa"/>
          </w:tcPr>
          <w:p w14:paraId="45D73493" w14:textId="77777777" w:rsidR="009C3592" w:rsidRPr="0060742F" w:rsidRDefault="009C3592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Soum</w:t>
            </w:r>
          </w:p>
        </w:tc>
        <w:tc>
          <w:tcPr>
            <w:tcW w:w="12763" w:type="dxa"/>
          </w:tcPr>
          <w:p w14:paraId="6C08C0BE" w14:textId="77777777" w:rsidR="009C3592" w:rsidRPr="0060742F" w:rsidRDefault="00AA4FB0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9C359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ydronyme </w:t>
            </w: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qui </w:t>
            </w:r>
            <w:r w:rsidR="009C359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désign</w:t>
            </w: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="009C359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une mare de la région et constitue la lisière entre les dunes de sable du </w:t>
            </w:r>
            <w:proofErr w:type="spellStart"/>
            <w:r w:rsidR="009C359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Séno-mango</w:t>
            </w:r>
            <w:proofErr w:type="spellEnd"/>
            <w:r w:rsidR="009C3592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et la savane. Cette dénomination fait référence à l’écosystème que forme la mare de Soum avec les dunes de sable.</w:t>
            </w:r>
          </w:p>
        </w:tc>
      </w:tr>
      <w:tr w:rsidR="005659AD" w:rsidRPr="0060742F" w14:paraId="28806905" w14:textId="77777777" w:rsidTr="00FF7948">
        <w:trPr>
          <w:trHeight w:val="442"/>
          <w:jc w:val="center"/>
        </w:trPr>
        <w:tc>
          <w:tcPr>
            <w:tcW w:w="678" w:type="dxa"/>
          </w:tcPr>
          <w:p w14:paraId="29175F1E" w14:textId="77777777" w:rsidR="005659AD" w:rsidRPr="0060742F" w:rsidRDefault="005659AD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63" w:type="dxa"/>
          </w:tcPr>
          <w:p w14:paraId="00A8B9A6" w14:textId="77777777" w:rsidR="005659AD" w:rsidRPr="0060742F" w:rsidRDefault="005659AD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Sourou</w:t>
            </w:r>
          </w:p>
        </w:tc>
        <w:tc>
          <w:tcPr>
            <w:tcW w:w="12763" w:type="dxa"/>
          </w:tcPr>
          <w:p w14:paraId="63E6CE2C" w14:textId="7E8DF94F" w:rsidR="005659AD" w:rsidRPr="0060742F" w:rsidRDefault="005659AD" w:rsidP="005659A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Hydronyme tiré d’un important cours d’eau (défluent du fleuve Mouhoun) qui arrose de vastes plaines de la région et dont les potentialités agro-</w:t>
            </w: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sylvo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-pastorales,</w:t>
            </w:r>
            <w:r w:rsidR="00185141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fauniques et halieutiques constituent d’importantes ressources pour le développement harmonieux de cette entité.</w:t>
            </w:r>
          </w:p>
        </w:tc>
      </w:tr>
      <w:tr w:rsidR="005659AD" w:rsidRPr="0060742F" w14:paraId="6AC57672" w14:textId="77777777" w:rsidTr="00FF7948">
        <w:trPr>
          <w:trHeight w:val="442"/>
          <w:jc w:val="center"/>
        </w:trPr>
        <w:tc>
          <w:tcPr>
            <w:tcW w:w="678" w:type="dxa"/>
          </w:tcPr>
          <w:p w14:paraId="6149AD7F" w14:textId="77777777" w:rsidR="005659AD" w:rsidRPr="0060742F" w:rsidRDefault="005659AD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63" w:type="dxa"/>
          </w:tcPr>
          <w:p w14:paraId="6291C251" w14:textId="77777777" w:rsidR="005659AD" w:rsidRPr="0060742F" w:rsidRDefault="005659AD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Tannounyan</w:t>
            </w:r>
          </w:p>
        </w:tc>
        <w:tc>
          <w:tcPr>
            <w:tcW w:w="12763" w:type="dxa"/>
          </w:tcPr>
          <w:p w14:paraId="0CD88DD2" w14:textId="77777777" w:rsidR="005659AD" w:rsidRPr="0060742F" w:rsidRDefault="005659AD" w:rsidP="005659A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Tannounyan en langues Turka et Gouin signifie des collines ou des falaises. Cette proposition fait référence au relief de la région aux paysages fascinants, notamment la chaîne des dômes de </w:t>
            </w: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Fabedougou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, les pics de Sindou, le mont Ténakourou et le piton de Bérégadougou</w:t>
            </w:r>
          </w:p>
        </w:tc>
      </w:tr>
      <w:tr w:rsidR="005659AD" w:rsidRPr="0060742F" w14:paraId="2DCCF9CC" w14:textId="77777777" w:rsidTr="00FF7948">
        <w:trPr>
          <w:trHeight w:val="442"/>
          <w:jc w:val="center"/>
        </w:trPr>
        <w:tc>
          <w:tcPr>
            <w:tcW w:w="678" w:type="dxa"/>
          </w:tcPr>
          <w:p w14:paraId="345DE65B" w14:textId="77777777" w:rsidR="005659AD" w:rsidRPr="0060742F" w:rsidRDefault="005659AD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63" w:type="dxa"/>
          </w:tcPr>
          <w:p w14:paraId="115AFCF7" w14:textId="77777777" w:rsidR="005659AD" w:rsidRPr="0060742F" w:rsidRDefault="005659AD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Tapoa</w:t>
            </w:r>
          </w:p>
        </w:tc>
        <w:tc>
          <w:tcPr>
            <w:tcW w:w="12763" w:type="dxa"/>
          </w:tcPr>
          <w:p w14:paraId="6AA74347" w14:textId="77777777" w:rsidR="005659AD" w:rsidRPr="0060742F" w:rsidRDefault="005659AD" w:rsidP="005659A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Hydronyme tiré du principal cours d’eau qui traverse la région. </w:t>
            </w:r>
          </w:p>
        </w:tc>
      </w:tr>
      <w:tr w:rsidR="005659AD" w:rsidRPr="0060742F" w14:paraId="5AFC5BFA" w14:textId="77777777" w:rsidTr="00FF7948">
        <w:trPr>
          <w:trHeight w:val="562"/>
          <w:jc w:val="center"/>
        </w:trPr>
        <w:tc>
          <w:tcPr>
            <w:tcW w:w="678" w:type="dxa"/>
          </w:tcPr>
          <w:p w14:paraId="2B97DC61" w14:textId="77777777" w:rsidR="005659AD" w:rsidRPr="0060742F" w:rsidRDefault="005659AD" w:rsidP="005B7F5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63" w:type="dxa"/>
          </w:tcPr>
          <w:p w14:paraId="7BEE43D6" w14:textId="77777777" w:rsidR="005659AD" w:rsidRPr="0060742F" w:rsidRDefault="005659AD" w:rsidP="000D551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Yaadga</w:t>
            </w:r>
          </w:p>
        </w:tc>
        <w:tc>
          <w:tcPr>
            <w:tcW w:w="12763" w:type="dxa"/>
          </w:tcPr>
          <w:p w14:paraId="7EAD5755" w14:textId="06F51E08" w:rsidR="005659AD" w:rsidRPr="0060742F" w:rsidRDefault="005659AD" w:rsidP="005659A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Dénomination faisant référence au nom du petit</w:t>
            </w:r>
            <w:r w:rsidR="006E2960"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fils de </w:t>
            </w: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Naba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>Oubri</w:t>
            </w:r>
            <w:proofErr w:type="spellEnd"/>
            <w:r w:rsidRPr="00607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qui a fondé le royaume du Yatenga. Ce royaume est l’un des royaumes mossi.</w:t>
            </w:r>
          </w:p>
        </w:tc>
      </w:tr>
      <w:bookmarkEnd w:id="0"/>
    </w:tbl>
    <w:p w14:paraId="1E6168A7" w14:textId="77777777" w:rsidR="002E4FA8" w:rsidRPr="0060742F" w:rsidRDefault="002E4FA8" w:rsidP="001B4A52">
      <w:pPr>
        <w:rPr>
          <w:rFonts w:ascii="Times New Roman" w:hAnsi="Times New Roman" w:cs="Times New Roman"/>
          <w:b/>
          <w:sz w:val="24"/>
          <w:szCs w:val="24"/>
        </w:rPr>
      </w:pPr>
    </w:p>
    <w:sectPr w:rsidR="002E4FA8" w:rsidRPr="0060742F" w:rsidSect="004951FD">
      <w:footerReference w:type="default" r:id="rId6"/>
      <w:pgSz w:w="16838" w:h="11906" w:orient="landscape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3C0A" w14:textId="77777777" w:rsidR="001466A2" w:rsidRDefault="001466A2" w:rsidP="00C8503D">
      <w:pPr>
        <w:spacing w:after="0" w:line="240" w:lineRule="auto"/>
      </w:pPr>
      <w:r>
        <w:separator/>
      </w:r>
    </w:p>
  </w:endnote>
  <w:endnote w:type="continuationSeparator" w:id="0">
    <w:p w14:paraId="1F813B52" w14:textId="77777777" w:rsidR="001466A2" w:rsidRDefault="001466A2" w:rsidP="00C8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809518"/>
      <w:docPartObj>
        <w:docPartGallery w:val="Page Numbers (Bottom of Page)"/>
        <w:docPartUnique/>
      </w:docPartObj>
    </w:sdtPr>
    <w:sdtEndPr/>
    <w:sdtContent>
      <w:p w14:paraId="575129BD" w14:textId="77777777" w:rsidR="00C8503D" w:rsidRDefault="00C8503D" w:rsidP="007D447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B6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BA3B" w14:textId="77777777" w:rsidR="001466A2" w:rsidRDefault="001466A2" w:rsidP="00C8503D">
      <w:pPr>
        <w:spacing w:after="0" w:line="240" w:lineRule="auto"/>
      </w:pPr>
      <w:r>
        <w:separator/>
      </w:r>
    </w:p>
  </w:footnote>
  <w:footnote w:type="continuationSeparator" w:id="0">
    <w:p w14:paraId="5D8EFD3C" w14:textId="77777777" w:rsidR="001466A2" w:rsidRDefault="001466A2" w:rsidP="00C85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B1"/>
    <w:rsid w:val="00007ADB"/>
    <w:rsid w:val="000227C3"/>
    <w:rsid w:val="00043025"/>
    <w:rsid w:val="00050D75"/>
    <w:rsid w:val="000A4570"/>
    <w:rsid w:val="000C7965"/>
    <w:rsid w:val="000D4339"/>
    <w:rsid w:val="000D5510"/>
    <w:rsid w:val="000E26A9"/>
    <w:rsid w:val="000E6550"/>
    <w:rsid w:val="0011745B"/>
    <w:rsid w:val="00132973"/>
    <w:rsid w:val="001466A2"/>
    <w:rsid w:val="00174A2B"/>
    <w:rsid w:val="00185141"/>
    <w:rsid w:val="001B4A52"/>
    <w:rsid w:val="001C4A18"/>
    <w:rsid w:val="001E1EE3"/>
    <w:rsid w:val="00201491"/>
    <w:rsid w:val="00226CD3"/>
    <w:rsid w:val="0026191D"/>
    <w:rsid w:val="00271D0F"/>
    <w:rsid w:val="002A107C"/>
    <w:rsid w:val="002A524F"/>
    <w:rsid w:val="002D46A5"/>
    <w:rsid w:val="002E4242"/>
    <w:rsid w:val="002E4FA8"/>
    <w:rsid w:val="002F54D9"/>
    <w:rsid w:val="00337718"/>
    <w:rsid w:val="003619C5"/>
    <w:rsid w:val="00370801"/>
    <w:rsid w:val="00380FE8"/>
    <w:rsid w:val="00383F82"/>
    <w:rsid w:val="003E6E41"/>
    <w:rsid w:val="004047F9"/>
    <w:rsid w:val="00416ABD"/>
    <w:rsid w:val="00490EE8"/>
    <w:rsid w:val="004951FD"/>
    <w:rsid w:val="004A776C"/>
    <w:rsid w:val="004E599E"/>
    <w:rsid w:val="00500A1F"/>
    <w:rsid w:val="005659AD"/>
    <w:rsid w:val="00566164"/>
    <w:rsid w:val="005B44A3"/>
    <w:rsid w:val="005B7F59"/>
    <w:rsid w:val="0060742F"/>
    <w:rsid w:val="00653269"/>
    <w:rsid w:val="0065567F"/>
    <w:rsid w:val="00660197"/>
    <w:rsid w:val="006A5300"/>
    <w:rsid w:val="006C0AE0"/>
    <w:rsid w:val="006E2960"/>
    <w:rsid w:val="00703021"/>
    <w:rsid w:val="007231AC"/>
    <w:rsid w:val="00750184"/>
    <w:rsid w:val="00780EEF"/>
    <w:rsid w:val="007A42D6"/>
    <w:rsid w:val="007D447A"/>
    <w:rsid w:val="00817515"/>
    <w:rsid w:val="00827991"/>
    <w:rsid w:val="0083583F"/>
    <w:rsid w:val="00866A2B"/>
    <w:rsid w:val="00881FED"/>
    <w:rsid w:val="00896FD4"/>
    <w:rsid w:val="008A251D"/>
    <w:rsid w:val="008A2DB1"/>
    <w:rsid w:val="008E782E"/>
    <w:rsid w:val="00920C3F"/>
    <w:rsid w:val="00926E73"/>
    <w:rsid w:val="009313AC"/>
    <w:rsid w:val="009362A0"/>
    <w:rsid w:val="00957D03"/>
    <w:rsid w:val="00997980"/>
    <w:rsid w:val="009C3592"/>
    <w:rsid w:val="009C3B6F"/>
    <w:rsid w:val="009D5900"/>
    <w:rsid w:val="00A15406"/>
    <w:rsid w:val="00A44AA9"/>
    <w:rsid w:val="00A866D5"/>
    <w:rsid w:val="00A9373D"/>
    <w:rsid w:val="00AA4FB0"/>
    <w:rsid w:val="00AF26B0"/>
    <w:rsid w:val="00B70397"/>
    <w:rsid w:val="00B80B9F"/>
    <w:rsid w:val="00BD0A9F"/>
    <w:rsid w:val="00BE1CC0"/>
    <w:rsid w:val="00C0356F"/>
    <w:rsid w:val="00C04884"/>
    <w:rsid w:val="00C8503D"/>
    <w:rsid w:val="00D517AD"/>
    <w:rsid w:val="00D97AD0"/>
    <w:rsid w:val="00DA6052"/>
    <w:rsid w:val="00DF4681"/>
    <w:rsid w:val="00E1002F"/>
    <w:rsid w:val="00E458CF"/>
    <w:rsid w:val="00E50AFC"/>
    <w:rsid w:val="00E63D01"/>
    <w:rsid w:val="00E7169E"/>
    <w:rsid w:val="00E75D48"/>
    <w:rsid w:val="00E81E67"/>
    <w:rsid w:val="00EB19B2"/>
    <w:rsid w:val="00F5556E"/>
    <w:rsid w:val="00FA1A09"/>
    <w:rsid w:val="00FA7BF2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F6B1"/>
  <w15:chartTrackingRefBased/>
  <w15:docId w15:val="{55A6BA46-E151-4277-97BE-72BFA10A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E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8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03D"/>
  </w:style>
  <w:style w:type="paragraph" w:styleId="Pieddepage">
    <w:name w:val="footer"/>
    <w:basedOn w:val="Normal"/>
    <w:link w:val="PieddepageCar"/>
    <w:uiPriority w:val="99"/>
    <w:unhideWhenUsed/>
    <w:rsid w:val="00C8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03D"/>
  </w:style>
  <w:style w:type="paragraph" w:styleId="Textedebulles">
    <w:name w:val="Balloon Text"/>
    <w:basedOn w:val="Normal"/>
    <w:link w:val="TextedebullesCar"/>
    <w:uiPriority w:val="99"/>
    <w:semiHidden/>
    <w:unhideWhenUsed/>
    <w:rsid w:val="0000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KAFANDO SANDRINE</dc:creator>
  <cp:keywords/>
  <dc:description/>
  <cp:lastModifiedBy>mahamadoubafrank@gmail.com</cp:lastModifiedBy>
  <cp:revision>2</cp:revision>
  <dcterms:created xsi:type="dcterms:W3CDTF">2025-07-02T22:32:00Z</dcterms:created>
  <dcterms:modified xsi:type="dcterms:W3CDTF">2025-07-02T22:32:00Z</dcterms:modified>
</cp:coreProperties>
</file>